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56" w:leftChars="0" w:right="0" w:right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十一、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重点绩效评价结果等绩效情况说明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56" w:leftChars="0" w:right="0" w:right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绩效管理工作开展情况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预算绩效管理要求，市财政组织对我单位2021年度一般公共预算项目支出全面开展绩效评价，组织对我委2021年部门整体支出开展了绩效目标评价。从评价情况来看，鲁朗景区管理委员会在重点项目支出符合立项符合政策要求、目标明确，管理制度建设基本健全，项目运行监测、监控措施得当，资金使用合规、执行较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88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1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部门决算中项目绩效自评结果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2021年我单位重点项目超过50万元的共计4个，都属于非基建项目，其中：1、2020年农村集体经济发展资金支出87.43万元，2、鲁朗知青点红色教育基地改造支出98.45万元，3、污水处理工程一期支出171.89万元，茶间路项目支出132.16万元，共计支出489.93万元，且4个重点项目均能达到要求，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充分发挥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重点项目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工作职能，较好的完成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了各项工作任务。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9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03862-C53D-4E80-87CB-1EAD381B28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1EEE66A-6B30-46DD-886E-06D56EDEF5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35C7BE-F1CB-4D7E-874F-DB0836DDE5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ZmRmMzY1ZTkyY2M0MjhiZTg3NGM2YzkyZDgzNDMifQ=="/>
  </w:docVars>
  <w:rsids>
    <w:rsidRoot w:val="00000000"/>
    <w:rsid w:val="2C7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2023-10-20T10:44:42Z</dcterms:created>
  <dc:creator>ASUS</dc:creator>
  <cp:lastModifiedBy>卓博广告18008949985</cp:lastModifiedBy>
  <dcterms:modified xsi:type="dcterms:W3CDTF">2023-10-20T11:00:04Z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67DDA7AB33E34B29B2AB56368A76A6DA_12</vt:lpwstr>
  </property>
</Properties>
</file>